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A5DCFAA" w:rsidR="00A160B2" w:rsidRDefault="00EC23C5" w:rsidP="006C3150">
            <w:pPr>
              <w:pStyle w:val="Infotext"/>
              <w:rPr>
                <w:rFonts w:cs="Arial"/>
              </w:rPr>
            </w:pPr>
            <w:r>
              <w:rPr>
                <w:rFonts w:cs="Arial"/>
              </w:rPr>
              <w:t>6 October</w:t>
            </w:r>
            <w:r w:rsidR="00CE4DD2">
              <w:rPr>
                <w:rFonts w:cs="Arial"/>
              </w:rPr>
              <w:t xml:space="preserve"> 202</w:t>
            </w:r>
            <w:r w:rsidR="00BE44C6">
              <w:rPr>
                <w:rFonts w:cs="Arial"/>
              </w:rPr>
              <w:t>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B9B4102" w14:textId="77777777" w:rsidR="00773A76" w:rsidRDefault="0055081C" w:rsidP="00CE4DD2">
            <w:pPr>
              <w:pStyle w:val="Infotext"/>
              <w:rPr>
                <w:rFonts w:cs="Arial"/>
              </w:rPr>
            </w:pPr>
            <w:r>
              <w:rPr>
                <w:rFonts w:cs="Arial"/>
              </w:rPr>
              <w:t xml:space="preserve">Taskforce on Climate-related Financial Disclosures </w:t>
            </w:r>
            <w:r w:rsidR="000C399F">
              <w:rPr>
                <w:rFonts w:cs="Arial"/>
              </w:rPr>
              <w:t xml:space="preserve">- Consultation </w:t>
            </w:r>
          </w:p>
          <w:p w14:paraId="5914456E" w14:textId="46C4EBEA" w:rsidR="00A160B2" w:rsidRDefault="000551DE" w:rsidP="00CE4DD2">
            <w:pPr>
              <w:pStyle w:val="Infotext"/>
              <w:rPr>
                <w:rFonts w:cs="Arial"/>
              </w:rPr>
            </w:pPr>
            <w:r>
              <w:rPr>
                <w:rFonts w:cs="Arial"/>
              </w:rPr>
              <w:t xml:space="preserve"> </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19B8EE28" w14:textId="77777777" w:rsidR="00A160B2" w:rsidRDefault="00CE4DD2" w:rsidP="00CE4DD2">
            <w:pPr>
              <w:pStyle w:val="Infotext"/>
              <w:rPr>
                <w:rFonts w:cs="Arial"/>
              </w:rPr>
            </w:pPr>
            <w:r>
              <w:rPr>
                <w:rFonts w:cs="Arial"/>
              </w:rPr>
              <w:t>Dawn Calvert – Director of Finance and Assurance</w:t>
            </w:r>
          </w:p>
          <w:p w14:paraId="3CF266C9" w14:textId="5E19AAC3" w:rsidR="00773A76" w:rsidRDefault="00773A76"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773A76" w:rsidRDefault="00367CCA" w:rsidP="006C3150">
            <w:pPr>
              <w:pStyle w:val="Infotext"/>
              <w:rPr>
                <w:bCs/>
              </w:rPr>
            </w:pPr>
            <w:r w:rsidRPr="00773A76">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4C232B02" w14:textId="3B244959" w:rsidR="00A160B2" w:rsidRDefault="000C399F"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rsidRPr="000C399F" w14:paraId="281F4D12" w14:textId="77777777" w:rsidTr="00A360D6">
        <w:trPr>
          <w:tblHeader/>
        </w:trPr>
        <w:tc>
          <w:tcPr>
            <w:tcW w:w="8309" w:type="dxa"/>
            <w:tcBorders>
              <w:left w:val="nil"/>
              <w:bottom w:val="nil"/>
              <w:right w:val="nil"/>
            </w:tcBorders>
          </w:tcPr>
          <w:p w14:paraId="2C9E4A81" w14:textId="3A92336C" w:rsidR="00A160B2" w:rsidRPr="000C399F" w:rsidRDefault="000551DE" w:rsidP="00A160B2">
            <w:pPr>
              <w:rPr>
                <w:szCs w:val="24"/>
              </w:rPr>
            </w:pPr>
            <w:r w:rsidRPr="000C399F">
              <w:rPr>
                <w:szCs w:val="24"/>
              </w:rPr>
              <w:t xml:space="preserve">This report summarises the </w:t>
            </w:r>
            <w:r w:rsidR="000C399F" w:rsidRPr="000C399F">
              <w:rPr>
                <w:szCs w:val="24"/>
              </w:rPr>
              <w:t xml:space="preserve">recently issued Government Consultation paper on Governance and Reporting of Climate Change Risks. </w:t>
            </w:r>
          </w:p>
          <w:p w14:paraId="53358B31" w14:textId="77777777" w:rsidR="00A360D6" w:rsidRPr="000C399F" w:rsidRDefault="00A360D6" w:rsidP="00A160B2">
            <w:pPr>
              <w:rPr>
                <w:rFonts w:ascii="Arial Bold" w:hAnsi="Arial Bold"/>
                <w:b/>
                <w:szCs w:val="24"/>
              </w:rPr>
            </w:pPr>
          </w:p>
          <w:p w14:paraId="4F9D0A08" w14:textId="77777777" w:rsidR="00A160B2" w:rsidRPr="000C399F" w:rsidRDefault="00A160B2" w:rsidP="00A160B2">
            <w:pPr>
              <w:rPr>
                <w:rFonts w:ascii="Arial Bold" w:hAnsi="Arial Bold"/>
                <w:b/>
                <w:szCs w:val="24"/>
              </w:rPr>
            </w:pPr>
            <w:r w:rsidRPr="000C399F">
              <w:rPr>
                <w:rFonts w:ascii="Arial Bold" w:hAnsi="Arial Bold"/>
                <w:b/>
                <w:szCs w:val="24"/>
              </w:rPr>
              <w:t xml:space="preserve">Recommendations: </w:t>
            </w:r>
          </w:p>
          <w:p w14:paraId="714CBDEE" w14:textId="6DF71807" w:rsidR="00A160B2" w:rsidRPr="000C399F" w:rsidRDefault="00A360D6" w:rsidP="00A160B2">
            <w:pPr>
              <w:rPr>
                <w:szCs w:val="24"/>
              </w:rPr>
            </w:pPr>
            <w:r w:rsidRPr="000C399F">
              <w:rPr>
                <w:szCs w:val="24"/>
              </w:rPr>
              <w:t xml:space="preserve">The Board is requested to </w:t>
            </w:r>
            <w:r w:rsidR="000551DE" w:rsidRPr="000C399F">
              <w:rPr>
                <w:szCs w:val="24"/>
              </w:rPr>
              <w:t>note the report</w:t>
            </w:r>
            <w:r w:rsidR="0075614B" w:rsidRPr="000C399F">
              <w:rPr>
                <w:szCs w:val="24"/>
              </w:rPr>
              <w:t xml:space="preserve">. </w:t>
            </w: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46EC2B51" w14:textId="02D49809" w:rsidR="000551DE" w:rsidRDefault="000C399F" w:rsidP="004578DE">
      <w:pPr>
        <w:numPr>
          <w:ilvl w:val="0"/>
          <w:numId w:val="16"/>
        </w:numPr>
        <w:jc w:val="both"/>
      </w:pPr>
      <w:r>
        <w:t xml:space="preserve">In recent years there has been a growth in concern about how the Local Government Pension Scheme’s (LGPS) investments are made in the context of the potential impacts of climate change.  This has been reflected in an increased emphasis being placed LGPS Funds and their investment managers on Environmental, Social and Governance (ESG) issues. </w:t>
      </w:r>
    </w:p>
    <w:p w14:paraId="30D944BF" w14:textId="77777777" w:rsidR="000C399F" w:rsidRDefault="000C399F" w:rsidP="000C399F">
      <w:pPr>
        <w:ind w:left="720"/>
        <w:jc w:val="both"/>
      </w:pPr>
    </w:p>
    <w:p w14:paraId="4645E7A6" w14:textId="645A4D78" w:rsidR="000C399F" w:rsidRPr="000C399F" w:rsidRDefault="000C399F" w:rsidP="004578DE">
      <w:pPr>
        <w:numPr>
          <w:ilvl w:val="0"/>
          <w:numId w:val="16"/>
        </w:numPr>
        <w:jc w:val="both"/>
        <w:rPr>
          <w:rFonts w:cs="Arial"/>
        </w:rPr>
      </w:pPr>
      <w:r>
        <w:t xml:space="preserve">On 1 September 2022 the Department for Levelling Up, Housing and Communities (DLUHC) published a consultation paper </w:t>
      </w:r>
      <w:r w:rsidRPr="000C399F">
        <w:rPr>
          <w:rFonts w:cs="Arial"/>
          <w:color w:val="0B0C0C"/>
          <w:lang w:val="en"/>
        </w:rPr>
        <w:t xml:space="preserve">seeks views on proposals to require LGPS administering authorities in England and Wales to assess, manage and report on climate-related risks, in line with the recommendations of the Taskforce on Climate-related Financial Disclosures (TCFD). The consultation closes on 24 </w:t>
      </w:r>
      <w:r>
        <w:rPr>
          <w:rFonts w:cs="Arial"/>
          <w:color w:val="0B0C0C"/>
          <w:lang w:val="en"/>
        </w:rPr>
        <w:t>N</w:t>
      </w:r>
      <w:r w:rsidRPr="000C399F">
        <w:rPr>
          <w:rFonts w:cs="Arial"/>
          <w:color w:val="0B0C0C"/>
          <w:lang w:val="en"/>
        </w:rPr>
        <w:t>ovember 2022.</w:t>
      </w:r>
    </w:p>
    <w:p w14:paraId="51670173" w14:textId="77777777" w:rsidR="000551DE" w:rsidRDefault="000551DE" w:rsidP="000551DE">
      <w:pPr>
        <w:ind w:left="720"/>
        <w:jc w:val="both"/>
      </w:pPr>
    </w:p>
    <w:p w14:paraId="7A5F4F91" w14:textId="77777777" w:rsidR="000551DE" w:rsidRDefault="000551DE" w:rsidP="000551DE">
      <w:pPr>
        <w:pStyle w:val="ListParagraph"/>
      </w:pPr>
    </w:p>
    <w:p w14:paraId="068D0557" w14:textId="14FC0A42" w:rsidR="008F5CDD" w:rsidRDefault="008F5CDD" w:rsidP="007A7B1D">
      <w:pPr>
        <w:numPr>
          <w:ilvl w:val="0"/>
          <w:numId w:val="16"/>
        </w:numPr>
        <w:jc w:val="both"/>
        <w:rPr>
          <w:szCs w:val="24"/>
        </w:rPr>
      </w:pPr>
      <w:r>
        <w:rPr>
          <w:szCs w:val="24"/>
        </w:rPr>
        <w:t>The approach builds upon the existing requirements contained in the LGPS (Management and Investment of Funds) regulations 2016, which include requirements to state in the Investment Strategy Statement the Fund’s approach to ESG matters.</w:t>
      </w:r>
    </w:p>
    <w:p w14:paraId="18027080" w14:textId="77777777" w:rsidR="008F5CDD" w:rsidRDefault="008F5CDD" w:rsidP="008F5CDD">
      <w:pPr>
        <w:ind w:left="720"/>
        <w:jc w:val="both"/>
        <w:rPr>
          <w:szCs w:val="24"/>
        </w:rPr>
      </w:pPr>
    </w:p>
    <w:p w14:paraId="1A6A0A9F" w14:textId="245907CD" w:rsidR="00D56CAE" w:rsidRDefault="00A57A54" w:rsidP="007A7B1D">
      <w:pPr>
        <w:numPr>
          <w:ilvl w:val="0"/>
          <w:numId w:val="16"/>
        </w:numPr>
        <w:jc w:val="both"/>
        <w:rPr>
          <w:szCs w:val="24"/>
        </w:rPr>
      </w:pPr>
      <w:r w:rsidRPr="00A57A54">
        <w:rPr>
          <w:szCs w:val="24"/>
        </w:rPr>
        <w:t>The consultation sets out the proposed requirements for the LGPS</w:t>
      </w:r>
      <w:r w:rsidR="008F5CDD">
        <w:rPr>
          <w:szCs w:val="24"/>
        </w:rPr>
        <w:t>. I</w:t>
      </w:r>
      <w:r w:rsidRPr="00A57A54">
        <w:rPr>
          <w:szCs w:val="24"/>
        </w:rPr>
        <w:t xml:space="preserve">n summary, each administering authority will have </w:t>
      </w:r>
      <w:proofErr w:type="gramStart"/>
      <w:r w:rsidRPr="00A57A54">
        <w:rPr>
          <w:szCs w:val="24"/>
        </w:rPr>
        <w:t xml:space="preserve">to </w:t>
      </w:r>
      <w:r w:rsidR="00D56CAE" w:rsidRPr="00A57A54">
        <w:rPr>
          <w:szCs w:val="24"/>
        </w:rPr>
        <w:t xml:space="preserve"> </w:t>
      </w:r>
      <w:r>
        <w:rPr>
          <w:szCs w:val="24"/>
        </w:rPr>
        <w:t>consider</w:t>
      </w:r>
      <w:proofErr w:type="gramEnd"/>
      <w:r>
        <w:rPr>
          <w:szCs w:val="24"/>
        </w:rPr>
        <w:t xml:space="preserve"> and report against four key areas</w:t>
      </w:r>
    </w:p>
    <w:p w14:paraId="22D7FA81" w14:textId="77777777" w:rsidR="00A57A54" w:rsidRPr="008F5CDD" w:rsidRDefault="00A57A54" w:rsidP="00A57A54">
      <w:pPr>
        <w:pStyle w:val="ListParagraph"/>
        <w:numPr>
          <w:ilvl w:val="0"/>
          <w:numId w:val="39"/>
        </w:numPr>
        <w:jc w:val="both"/>
        <w:rPr>
          <w:sz w:val="24"/>
          <w:szCs w:val="24"/>
        </w:rPr>
      </w:pPr>
      <w:r w:rsidRPr="008F5CDD">
        <w:rPr>
          <w:sz w:val="24"/>
          <w:szCs w:val="24"/>
        </w:rPr>
        <w:t>Governance – the organisation’s governance around climate related risks and opportunities</w:t>
      </w:r>
    </w:p>
    <w:p w14:paraId="50F72761" w14:textId="243ECE21" w:rsidR="00A57A54" w:rsidRPr="008F5CDD" w:rsidRDefault="00A57A54" w:rsidP="00A57A54">
      <w:pPr>
        <w:pStyle w:val="ListParagraph"/>
        <w:numPr>
          <w:ilvl w:val="0"/>
          <w:numId w:val="39"/>
        </w:numPr>
        <w:jc w:val="both"/>
        <w:rPr>
          <w:sz w:val="24"/>
          <w:szCs w:val="24"/>
        </w:rPr>
      </w:pPr>
      <w:r w:rsidRPr="008F5CDD">
        <w:rPr>
          <w:sz w:val="24"/>
          <w:szCs w:val="24"/>
        </w:rPr>
        <w:t xml:space="preserve">Strategy </w:t>
      </w:r>
      <w:r w:rsidR="008F5CDD" w:rsidRPr="008F5CDD">
        <w:rPr>
          <w:sz w:val="24"/>
          <w:szCs w:val="24"/>
        </w:rPr>
        <w:t>–</w:t>
      </w:r>
      <w:r w:rsidRPr="008F5CDD">
        <w:rPr>
          <w:sz w:val="24"/>
          <w:szCs w:val="24"/>
        </w:rPr>
        <w:t xml:space="preserve"> </w:t>
      </w:r>
      <w:r w:rsidR="008F5CDD" w:rsidRPr="008F5CDD">
        <w:rPr>
          <w:sz w:val="24"/>
          <w:szCs w:val="24"/>
        </w:rPr>
        <w:t xml:space="preserve">the </w:t>
      </w:r>
      <w:r w:rsidRPr="008F5CDD">
        <w:rPr>
          <w:color w:val="0B0C0C"/>
          <w:sz w:val="24"/>
          <w:szCs w:val="24"/>
          <w:lang w:val="en"/>
        </w:rPr>
        <w:t xml:space="preserve">actual and potential impacts of climate-related risks and opportunities on the </w:t>
      </w:r>
      <w:proofErr w:type="spellStart"/>
      <w:r w:rsidRPr="008F5CDD">
        <w:rPr>
          <w:color w:val="0B0C0C"/>
          <w:sz w:val="24"/>
          <w:szCs w:val="24"/>
          <w:lang w:val="en"/>
        </w:rPr>
        <w:t>organisation’s</w:t>
      </w:r>
      <w:proofErr w:type="spellEnd"/>
      <w:r w:rsidRPr="008F5CDD">
        <w:rPr>
          <w:color w:val="0B0C0C"/>
          <w:sz w:val="24"/>
          <w:szCs w:val="24"/>
          <w:lang w:val="en"/>
        </w:rPr>
        <w:t xml:space="preserve"> businesses, </w:t>
      </w:r>
      <w:proofErr w:type="gramStart"/>
      <w:r w:rsidRPr="008F5CDD">
        <w:rPr>
          <w:color w:val="0B0C0C"/>
          <w:sz w:val="24"/>
          <w:szCs w:val="24"/>
          <w:lang w:val="en"/>
        </w:rPr>
        <w:t>strategy</w:t>
      </w:r>
      <w:proofErr w:type="gramEnd"/>
      <w:r w:rsidRPr="008F5CDD">
        <w:rPr>
          <w:color w:val="0B0C0C"/>
          <w:sz w:val="24"/>
          <w:szCs w:val="24"/>
          <w:lang w:val="en"/>
        </w:rPr>
        <w:t xml:space="preserve"> and financial planning</w:t>
      </w:r>
      <w:r w:rsidRPr="008F5CDD">
        <w:rPr>
          <w:sz w:val="24"/>
          <w:szCs w:val="24"/>
        </w:rPr>
        <w:t xml:space="preserve"> </w:t>
      </w:r>
    </w:p>
    <w:p w14:paraId="1749168B" w14:textId="26E9AF5F" w:rsidR="008F5CDD" w:rsidRPr="008F5CDD" w:rsidRDefault="008F5CDD" w:rsidP="00A57A54">
      <w:pPr>
        <w:pStyle w:val="ListParagraph"/>
        <w:numPr>
          <w:ilvl w:val="0"/>
          <w:numId w:val="39"/>
        </w:numPr>
        <w:jc w:val="both"/>
        <w:rPr>
          <w:sz w:val="24"/>
          <w:szCs w:val="24"/>
        </w:rPr>
      </w:pPr>
      <w:r w:rsidRPr="008F5CDD">
        <w:rPr>
          <w:rStyle w:val="Strong"/>
          <w:b w:val="0"/>
          <w:bCs w:val="0"/>
          <w:color w:val="0B0C0C"/>
          <w:sz w:val="24"/>
          <w:szCs w:val="24"/>
          <w:lang w:val="en"/>
        </w:rPr>
        <w:t>Risk Management</w:t>
      </w:r>
      <w:r>
        <w:rPr>
          <w:rStyle w:val="Strong"/>
          <w:b w:val="0"/>
          <w:bCs w:val="0"/>
          <w:color w:val="0B0C0C"/>
          <w:sz w:val="24"/>
          <w:szCs w:val="24"/>
          <w:lang w:val="en"/>
        </w:rPr>
        <w:t xml:space="preserve"> -</w:t>
      </w:r>
      <w:r w:rsidRPr="008F5CDD">
        <w:rPr>
          <w:color w:val="0B0C0C"/>
          <w:sz w:val="24"/>
          <w:szCs w:val="24"/>
          <w:lang w:val="en"/>
        </w:rPr>
        <w:t xml:space="preserve"> The processes used by the </w:t>
      </w:r>
      <w:proofErr w:type="spellStart"/>
      <w:r w:rsidRPr="008F5CDD">
        <w:rPr>
          <w:color w:val="0B0C0C"/>
          <w:sz w:val="24"/>
          <w:szCs w:val="24"/>
          <w:lang w:val="en"/>
        </w:rPr>
        <w:t>organisation</w:t>
      </w:r>
      <w:proofErr w:type="spellEnd"/>
      <w:r w:rsidRPr="008F5CDD">
        <w:rPr>
          <w:color w:val="0B0C0C"/>
          <w:sz w:val="24"/>
          <w:szCs w:val="24"/>
          <w:lang w:val="en"/>
        </w:rPr>
        <w:t xml:space="preserve"> to identify, </w:t>
      </w:r>
      <w:proofErr w:type="gramStart"/>
      <w:r w:rsidRPr="008F5CDD">
        <w:rPr>
          <w:color w:val="0B0C0C"/>
          <w:sz w:val="24"/>
          <w:szCs w:val="24"/>
          <w:lang w:val="en"/>
        </w:rPr>
        <w:t>assess</w:t>
      </w:r>
      <w:proofErr w:type="gramEnd"/>
      <w:r w:rsidRPr="008F5CDD">
        <w:rPr>
          <w:color w:val="0B0C0C"/>
          <w:sz w:val="24"/>
          <w:szCs w:val="24"/>
          <w:lang w:val="en"/>
        </w:rPr>
        <w:t xml:space="preserve"> and manage climate-related risks</w:t>
      </w:r>
    </w:p>
    <w:p w14:paraId="78522BA9" w14:textId="5B0D439C" w:rsidR="00A57A54" w:rsidRPr="008F5CDD" w:rsidRDefault="008F5CDD" w:rsidP="008F5CDD">
      <w:pPr>
        <w:pStyle w:val="ListParagraph"/>
        <w:numPr>
          <w:ilvl w:val="0"/>
          <w:numId w:val="39"/>
        </w:numPr>
        <w:jc w:val="both"/>
        <w:rPr>
          <w:sz w:val="24"/>
          <w:szCs w:val="24"/>
        </w:rPr>
      </w:pPr>
      <w:r w:rsidRPr="008F5CDD">
        <w:rPr>
          <w:rStyle w:val="Strong"/>
          <w:b w:val="0"/>
          <w:bCs w:val="0"/>
          <w:color w:val="0B0C0C"/>
          <w:sz w:val="24"/>
          <w:szCs w:val="24"/>
          <w:lang w:val="en"/>
        </w:rPr>
        <w:t>Metrics and Targets</w:t>
      </w:r>
      <w:r>
        <w:rPr>
          <w:rStyle w:val="Strong"/>
          <w:b w:val="0"/>
          <w:bCs w:val="0"/>
          <w:color w:val="0B0C0C"/>
          <w:sz w:val="24"/>
          <w:szCs w:val="24"/>
          <w:lang w:val="en"/>
        </w:rPr>
        <w:t xml:space="preserve"> -</w:t>
      </w:r>
      <w:r w:rsidRPr="008F5CDD">
        <w:rPr>
          <w:color w:val="0B0C0C"/>
          <w:sz w:val="24"/>
          <w:szCs w:val="24"/>
          <w:lang w:val="en"/>
        </w:rPr>
        <w:t xml:space="preserve"> The metrics and targets used to assess and manage relevant climate-related risks and opportunities</w:t>
      </w:r>
    </w:p>
    <w:p w14:paraId="26E7A18C" w14:textId="77777777" w:rsidR="008F5CDD" w:rsidRPr="008F5CDD" w:rsidRDefault="008F5CDD" w:rsidP="008F5CDD">
      <w:pPr>
        <w:pStyle w:val="ListParagraph"/>
        <w:ind w:left="1440"/>
        <w:jc w:val="both"/>
        <w:rPr>
          <w:sz w:val="24"/>
          <w:szCs w:val="24"/>
        </w:rPr>
      </w:pPr>
    </w:p>
    <w:p w14:paraId="32A60217" w14:textId="77777777" w:rsidR="00125757" w:rsidRPr="003A477B" w:rsidRDefault="00125757" w:rsidP="007A7B1D">
      <w:pPr>
        <w:numPr>
          <w:ilvl w:val="0"/>
          <w:numId w:val="16"/>
        </w:numPr>
        <w:jc w:val="both"/>
        <w:rPr>
          <w:szCs w:val="24"/>
        </w:rPr>
      </w:pPr>
      <w:r>
        <w:rPr>
          <w:szCs w:val="24"/>
        </w:rPr>
        <w:t xml:space="preserve">The </w:t>
      </w:r>
      <w:r w:rsidRPr="003A477B">
        <w:rPr>
          <w:szCs w:val="24"/>
        </w:rPr>
        <w:t>key requirements are</w:t>
      </w:r>
    </w:p>
    <w:p w14:paraId="73B1B21B" w14:textId="77777777" w:rsidR="003A477B" w:rsidRPr="003A477B" w:rsidRDefault="00125757" w:rsidP="00125757">
      <w:pPr>
        <w:pStyle w:val="ListParagraph"/>
        <w:numPr>
          <w:ilvl w:val="0"/>
          <w:numId w:val="40"/>
        </w:numPr>
        <w:jc w:val="both"/>
        <w:rPr>
          <w:sz w:val="24"/>
          <w:szCs w:val="24"/>
        </w:rPr>
      </w:pPr>
      <w:r w:rsidRPr="003A477B">
        <w:rPr>
          <w:sz w:val="24"/>
          <w:szCs w:val="24"/>
        </w:rPr>
        <w:t xml:space="preserve">Establish and maintain a governance approach </w:t>
      </w:r>
      <w:r w:rsidR="003A477B" w:rsidRPr="003A477B">
        <w:rPr>
          <w:sz w:val="24"/>
          <w:szCs w:val="24"/>
        </w:rPr>
        <w:t>for oversight of</w:t>
      </w:r>
      <w:r w:rsidRPr="003A477B">
        <w:rPr>
          <w:sz w:val="24"/>
          <w:szCs w:val="24"/>
        </w:rPr>
        <w:t xml:space="preserve"> climate risk</w:t>
      </w:r>
      <w:r w:rsidR="003A477B" w:rsidRPr="003A477B">
        <w:rPr>
          <w:sz w:val="24"/>
          <w:szCs w:val="24"/>
        </w:rPr>
        <w:t>s and opportunities</w:t>
      </w:r>
    </w:p>
    <w:p w14:paraId="26C8F93D" w14:textId="09A40C61" w:rsidR="003A477B" w:rsidRPr="003A477B" w:rsidRDefault="003A477B" w:rsidP="00CE20EF">
      <w:pPr>
        <w:pStyle w:val="ListParagraph"/>
        <w:numPr>
          <w:ilvl w:val="0"/>
          <w:numId w:val="40"/>
        </w:numPr>
        <w:jc w:val="both"/>
        <w:rPr>
          <w:sz w:val="24"/>
          <w:szCs w:val="24"/>
        </w:rPr>
      </w:pPr>
      <w:r w:rsidRPr="003A477B">
        <w:rPr>
          <w:sz w:val="24"/>
          <w:szCs w:val="24"/>
        </w:rPr>
        <w:t>Assess the impact of climate risks and opportunities on Funding and Investment strategies</w:t>
      </w:r>
    </w:p>
    <w:p w14:paraId="04E8EF7C" w14:textId="78E6FBA9" w:rsidR="003A477B" w:rsidRPr="003A477B" w:rsidRDefault="003A477B" w:rsidP="003A477B">
      <w:pPr>
        <w:pStyle w:val="ListParagraph"/>
        <w:numPr>
          <w:ilvl w:val="0"/>
          <w:numId w:val="40"/>
        </w:numPr>
        <w:jc w:val="both"/>
        <w:rPr>
          <w:sz w:val="24"/>
          <w:szCs w:val="24"/>
        </w:rPr>
      </w:pPr>
      <w:r>
        <w:rPr>
          <w:sz w:val="24"/>
          <w:szCs w:val="24"/>
        </w:rPr>
        <w:t>Carry ou</w:t>
      </w:r>
      <w:r w:rsidRPr="003A477B">
        <w:rPr>
          <w:szCs w:val="24"/>
        </w:rPr>
        <w:t>t scenario analysis reflecting different temperature pathway alignments (one of which must be “Paris aligned</w:t>
      </w:r>
      <w:proofErr w:type="gramStart"/>
      <w:r w:rsidRPr="003A477B">
        <w:rPr>
          <w:szCs w:val="24"/>
        </w:rPr>
        <w:t>” )</w:t>
      </w:r>
      <w:proofErr w:type="gramEnd"/>
    </w:p>
    <w:p w14:paraId="50516E5E" w14:textId="5E85D7AA" w:rsidR="003A477B" w:rsidRDefault="003A477B" w:rsidP="003A477B">
      <w:pPr>
        <w:pStyle w:val="ListParagraph"/>
        <w:numPr>
          <w:ilvl w:val="0"/>
          <w:numId w:val="40"/>
        </w:numPr>
        <w:jc w:val="both"/>
        <w:rPr>
          <w:sz w:val="24"/>
          <w:szCs w:val="24"/>
        </w:rPr>
      </w:pPr>
      <w:r w:rsidRPr="003A477B">
        <w:rPr>
          <w:sz w:val="24"/>
          <w:szCs w:val="24"/>
        </w:rPr>
        <w:t>Establish and maintain</w:t>
      </w:r>
      <w:r>
        <w:rPr>
          <w:sz w:val="24"/>
          <w:szCs w:val="24"/>
        </w:rPr>
        <w:t xml:space="preserve"> processes for identifying and managing climate risks and opportunities</w:t>
      </w:r>
    </w:p>
    <w:p w14:paraId="4FAF6C80" w14:textId="74A613E2" w:rsidR="003A477B" w:rsidRDefault="003A477B" w:rsidP="003A477B">
      <w:pPr>
        <w:pStyle w:val="ListParagraph"/>
        <w:numPr>
          <w:ilvl w:val="0"/>
          <w:numId w:val="40"/>
        </w:numPr>
        <w:jc w:val="both"/>
        <w:rPr>
          <w:sz w:val="24"/>
          <w:szCs w:val="24"/>
        </w:rPr>
      </w:pPr>
      <w:r>
        <w:rPr>
          <w:sz w:val="24"/>
          <w:szCs w:val="24"/>
        </w:rPr>
        <w:t>Report on a minimum of four prescribed climate metrics which need to be measured and disclosed annually</w:t>
      </w:r>
    </w:p>
    <w:p w14:paraId="2255AFF4" w14:textId="79A261C0" w:rsidR="003A477B" w:rsidRDefault="003A477B" w:rsidP="003A477B">
      <w:pPr>
        <w:pStyle w:val="ListParagraph"/>
        <w:numPr>
          <w:ilvl w:val="0"/>
          <w:numId w:val="40"/>
        </w:numPr>
        <w:jc w:val="both"/>
        <w:rPr>
          <w:sz w:val="24"/>
          <w:szCs w:val="24"/>
        </w:rPr>
      </w:pPr>
      <w:r>
        <w:rPr>
          <w:sz w:val="24"/>
          <w:szCs w:val="24"/>
        </w:rPr>
        <w:t>Set a (</w:t>
      </w:r>
      <w:r w:rsidR="00773A76">
        <w:rPr>
          <w:sz w:val="24"/>
          <w:szCs w:val="24"/>
        </w:rPr>
        <w:t>non-binding</w:t>
      </w:r>
      <w:r>
        <w:rPr>
          <w:sz w:val="24"/>
          <w:szCs w:val="24"/>
        </w:rPr>
        <w:t>) target in relation to one metric, chosen by the authority</w:t>
      </w:r>
    </w:p>
    <w:p w14:paraId="1AE2C44C" w14:textId="2A39234C" w:rsidR="003A477B" w:rsidRDefault="003A477B" w:rsidP="003A477B">
      <w:pPr>
        <w:pStyle w:val="ListParagraph"/>
        <w:numPr>
          <w:ilvl w:val="0"/>
          <w:numId w:val="40"/>
        </w:numPr>
        <w:jc w:val="both"/>
        <w:rPr>
          <w:sz w:val="24"/>
          <w:szCs w:val="24"/>
        </w:rPr>
      </w:pPr>
      <w:r>
        <w:rPr>
          <w:sz w:val="24"/>
          <w:szCs w:val="24"/>
        </w:rPr>
        <w:t>As part of ongoing disclosure requirements, publish an annual climate risk report. The Scheme Advisory Board will also prepare an annual report linking to individual funds’ reports and aggregating figures for prescribed metrics</w:t>
      </w:r>
    </w:p>
    <w:p w14:paraId="48A9B790" w14:textId="4E632003" w:rsidR="00A57A54" w:rsidRPr="003A477B" w:rsidRDefault="003A477B" w:rsidP="003A477B">
      <w:pPr>
        <w:pStyle w:val="ListParagraph"/>
        <w:numPr>
          <w:ilvl w:val="0"/>
          <w:numId w:val="40"/>
        </w:numPr>
        <w:jc w:val="both"/>
        <w:rPr>
          <w:sz w:val="24"/>
          <w:szCs w:val="24"/>
        </w:rPr>
      </w:pPr>
      <w:r>
        <w:rPr>
          <w:sz w:val="24"/>
          <w:szCs w:val="24"/>
        </w:rPr>
        <w:t xml:space="preserve">Other requirements including taking proper advice and having the required knowledge and skills. </w:t>
      </w:r>
      <w:r w:rsidR="00125757" w:rsidRPr="003A477B">
        <w:rPr>
          <w:szCs w:val="24"/>
        </w:rPr>
        <w:t xml:space="preserve"> </w:t>
      </w:r>
    </w:p>
    <w:p w14:paraId="191F7E66" w14:textId="37E7EBF4" w:rsidR="00901579" w:rsidRPr="003A477B" w:rsidRDefault="00901579" w:rsidP="00D56CAE">
      <w:pPr>
        <w:tabs>
          <w:tab w:val="left" w:pos="2487"/>
        </w:tabs>
        <w:ind w:left="720"/>
        <w:jc w:val="both"/>
        <w:rPr>
          <w:szCs w:val="24"/>
        </w:rPr>
      </w:pPr>
      <w:r w:rsidRPr="003A477B">
        <w:rPr>
          <w:szCs w:val="24"/>
        </w:rPr>
        <w:t xml:space="preserve"> </w:t>
      </w:r>
      <w:r w:rsidR="00C63471" w:rsidRPr="003A477B">
        <w:rPr>
          <w:szCs w:val="24"/>
        </w:rPr>
        <w:t xml:space="preserve"> </w:t>
      </w:r>
      <w:r w:rsidR="00D56CAE" w:rsidRPr="003A477B">
        <w:rPr>
          <w:szCs w:val="24"/>
        </w:rPr>
        <w:tab/>
      </w:r>
    </w:p>
    <w:p w14:paraId="4003BCCD" w14:textId="2AF93118" w:rsidR="003A477B" w:rsidRDefault="003A477B" w:rsidP="00480578">
      <w:pPr>
        <w:numPr>
          <w:ilvl w:val="0"/>
          <w:numId w:val="16"/>
        </w:numPr>
        <w:jc w:val="both"/>
      </w:pPr>
      <w:r>
        <w:t xml:space="preserve">Metrics – currently, four are proposed – </w:t>
      </w:r>
    </w:p>
    <w:p w14:paraId="34DD324C" w14:textId="489521AA" w:rsidR="003A477B" w:rsidRPr="00773A76" w:rsidRDefault="003A477B" w:rsidP="003A477B">
      <w:pPr>
        <w:pStyle w:val="ListParagraph"/>
        <w:numPr>
          <w:ilvl w:val="0"/>
          <w:numId w:val="42"/>
        </w:numPr>
        <w:jc w:val="both"/>
        <w:rPr>
          <w:sz w:val="24"/>
          <w:szCs w:val="24"/>
        </w:rPr>
      </w:pPr>
      <w:r w:rsidRPr="00773A76">
        <w:rPr>
          <w:sz w:val="24"/>
          <w:szCs w:val="24"/>
        </w:rPr>
        <w:t>Total carbon emissions</w:t>
      </w:r>
      <w:r w:rsidR="007F0EA4" w:rsidRPr="00773A76">
        <w:rPr>
          <w:sz w:val="24"/>
          <w:szCs w:val="24"/>
        </w:rPr>
        <w:t xml:space="preserve"> – see paragraph 7 below</w:t>
      </w:r>
    </w:p>
    <w:p w14:paraId="178BD9A4" w14:textId="6720145B" w:rsidR="003A477B" w:rsidRPr="00773A76" w:rsidRDefault="003A477B" w:rsidP="003A477B">
      <w:pPr>
        <w:pStyle w:val="ListParagraph"/>
        <w:numPr>
          <w:ilvl w:val="0"/>
          <w:numId w:val="42"/>
        </w:numPr>
        <w:jc w:val="both"/>
        <w:rPr>
          <w:sz w:val="24"/>
          <w:szCs w:val="24"/>
        </w:rPr>
      </w:pPr>
      <w:r w:rsidRPr="00773A76">
        <w:rPr>
          <w:sz w:val="24"/>
          <w:szCs w:val="24"/>
        </w:rPr>
        <w:t>Carbon footprint</w:t>
      </w:r>
      <w:r w:rsidR="006F1DEC" w:rsidRPr="00773A76">
        <w:rPr>
          <w:sz w:val="24"/>
          <w:szCs w:val="24"/>
        </w:rPr>
        <w:t xml:space="preserve"> metric (this is intended to be a “carbon intensity” measure – reflecting </w:t>
      </w:r>
      <w:proofErr w:type="gramStart"/>
      <w:r w:rsidR="006F1DEC" w:rsidRPr="00773A76">
        <w:rPr>
          <w:sz w:val="24"/>
          <w:szCs w:val="24"/>
        </w:rPr>
        <w:t>that larger funds</w:t>
      </w:r>
      <w:proofErr w:type="gramEnd"/>
      <w:r w:rsidR="006F1DEC" w:rsidRPr="00773A76">
        <w:rPr>
          <w:sz w:val="24"/>
          <w:szCs w:val="24"/>
        </w:rPr>
        <w:t xml:space="preserve"> will inevitably have larger total emissions) </w:t>
      </w:r>
    </w:p>
    <w:p w14:paraId="0FEEECB3" w14:textId="0FB06603" w:rsidR="003A477B" w:rsidRPr="00773A76" w:rsidRDefault="003A477B" w:rsidP="003A477B">
      <w:pPr>
        <w:pStyle w:val="ListParagraph"/>
        <w:numPr>
          <w:ilvl w:val="0"/>
          <w:numId w:val="42"/>
        </w:numPr>
        <w:jc w:val="both"/>
        <w:rPr>
          <w:sz w:val="24"/>
          <w:szCs w:val="24"/>
        </w:rPr>
      </w:pPr>
      <w:r w:rsidRPr="00773A76">
        <w:rPr>
          <w:sz w:val="24"/>
          <w:szCs w:val="24"/>
        </w:rPr>
        <w:t>Data quality</w:t>
      </w:r>
      <w:r w:rsidR="006F1DEC" w:rsidRPr="00773A76">
        <w:rPr>
          <w:sz w:val="24"/>
          <w:szCs w:val="24"/>
        </w:rPr>
        <w:t xml:space="preserve"> – </w:t>
      </w:r>
      <w:r w:rsidR="007F0EA4" w:rsidRPr="00773A76">
        <w:rPr>
          <w:sz w:val="24"/>
          <w:szCs w:val="24"/>
        </w:rPr>
        <w:t>a statement indicating t</w:t>
      </w:r>
      <w:r w:rsidR="006F1DEC" w:rsidRPr="00773A76">
        <w:rPr>
          <w:sz w:val="24"/>
          <w:szCs w:val="24"/>
        </w:rPr>
        <w:t xml:space="preserve">he </w:t>
      </w:r>
      <w:r w:rsidR="007F0EA4" w:rsidRPr="00773A76">
        <w:rPr>
          <w:sz w:val="24"/>
          <w:szCs w:val="24"/>
        </w:rPr>
        <w:t xml:space="preserve">proportion </w:t>
      </w:r>
      <w:r w:rsidR="006F1DEC" w:rsidRPr="00773A76">
        <w:rPr>
          <w:sz w:val="24"/>
          <w:szCs w:val="24"/>
        </w:rPr>
        <w:t xml:space="preserve">of </w:t>
      </w:r>
      <w:r w:rsidR="007F0EA4" w:rsidRPr="00773A76">
        <w:rPr>
          <w:sz w:val="24"/>
          <w:szCs w:val="24"/>
        </w:rPr>
        <w:t xml:space="preserve">the Fund’s assets for which </w:t>
      </w:r>
      <w:proofErr w:type="gramStart"/>
      <w:r w:rsidR="007F0EA4" w:rsidRPr="00773A76">
        <w:rPr>
          <w:sz w:val="24"/>
          <w:szCs w:val="24"/>
        </w:rPr>
        <w:t>data</w:t>
      </w:r>
      <w:proofErr w:type="gramEnd"/>
      <w:r w:rsidR="007F0EA4" w:rsidRPr="00773A76">
        <w:rPr>
          <w:sz w:val="24"/>
          <w:szCs w:val="24"/>
        </w:rPr>
        <w:t xml:space="preserve"> which is verified, reported, estimated or unavailable.</w:t>
      </w:r>
      <w:r w:rsidR="006F1DEC" w:rsidRPr="00773A76">
        <w:rPr>
          <w:sz w:val="24"/>
          <w:szCs w:val="24"/>
        </w:rPr>
        <w:t xml:space="preserve"> </w:t>
      </w:r>
    </w:p>
    <w:p w14:paraId="56BA9F90" w14:textId="6E898C1B" w:rsidR="006F1DEC" w:rsidRPr="00311CE5" w:rsidRDefault="006F1DEC" w:rsidP="003A477B">
      <w:pPr>
        <w:pStyle w:val="ListParagraph"/>
        <w:numPr>
          <w:ilvl w:val="0"/>
          <w:numId w:val="42"/>
        </w:numPr>
        <w:jc w:val="both"/>
        <w:rPr>
          <w:sz w:val="24"/>
          <w:szCs w:val="24"/>
        </w:rPr>
      </w:pPr>
      <w:r w:rsidRPr="00311CE5">
        <w:rPr>
          <w:sz w:val="24"/>
          <w:szCs w:val="24"/>
        </w:rPr>
        <w:t>A Paris alignment metric</w:t>
      </w:r>
      <w:r w:rsidR="007F0EA4" w:rsidRPr="00311CE5">
        <w:rPr>
          <w:sz w:val="24"/>
          <w:szCs w:val="24"/>
        </w:rPr>
        <w:t xml:space="preserve"> - </w:t>
      </w:r>
      <w:r w:rsidR="007F0EA4" w:rsidRPr="00311CE5">
        <w:rPr>
          <w:color w:val="0B0C0C"/>
          <w:sz w:val="24"/>
          <w:szCs w:val="24"/>
          <w:lang w:val="en"/>
        </w:rPr>
        <w:t xml:space="preserve">the percentage of the fund’s assets for which a public </w:t>
      </w:r>
      <w:r w:rsidR="00311CE5">
        <w:rPr>
          <w:color w:val="0B0C0C"/>
          <w:sz w:val="24"/>
          <w:szCs w:val="24"/>
          <w:lang w:val="en"/>
        </w:rPr>
        <w:t>“</w:t>
      </w:r>
      <w:r w:rsidR="007F0EA4" w:rsidRPr="00311CE5">
        <w:rPr>
          <w:color w:val="0B0C0C"/>
          <w:sz w:val="24"/>
          <w:szCs w:val="24"/>
          <w:lang w:val="en"/>
        </w:rPr>
        <w:t>Paris aligned</w:t>
      </w:r>
      <w:r w:rsidR="00311CE5">
        <w:rPr>
          <w:color w:val="0B0C0C"/>
          <w:sz w:val="24"/>
          <w:szCs w:val="24"/>
          <w:lang w:val="en"/>
        </w:rPr>
        <w:t>”</w:t>
      </w:r>
      <w:r w:rsidR="007F0EA4" w:rsidRPr="00311CE5">
        <w:rPr>
          <w:color w:val="0B0C0C"/>
          <w:sz w:val="24"/>
          <w:szCs w:val="24"/>
          <w:lang w:val="en"/>
        </w:rPr>
        <w:t xml:space="preserve"> commitment has been made, </w:t>
      </w:r>
      <w:proofErr w:type="gramStart"/>
      <w:r w:rsidR="007F0EA4" w:rsidRPr="00311CE5">
        <w:rPr>
          <w:color w:val="0B0C0C"/>
          <w:sz w:val="24"/>
          <w:szCs w:val="24"/>
          <w:lang w:val="en"/>
        </w:rPr>
        <w:t>i.e.</w:t>
      </w:r>
      <w:proofErr w:type="gramEnd"/>
      <w:r w:rsidR="007F0EA4" w:rsidRPr="00311CE5">
        <w:rPr>
          <w:color w:val="0B0C0C"/>
          <w:sz w:val="24"/>
          <w:szCs w:val="24"/>
          <w:lang w:val="en"/>
        </w:rPr>
        <w:t xml:space="preserve"> net zero by 2050</w:t>
      </w:r>
    </w:p>
    <w:p w14:paraId="2553199D" w14:textId="03DD2AAB" w:rsidR="003A477B" w:rsidRDefault="006F1DEC" w:rsidP="006F1DEC">
      <w:pPr>
        <w:pStyle w:val="ListParagraph"/>
        <w:ind w:left="1440"/>
        <w:jc w:val="both"/>
      </w:pPr>
      <w:r>
        <w:t xml:space="preserve"> </w:t>
      </w:r>
    </w:p>
    <w:p w14:paraId="050F4C20" w14:textId="7A6ED0C9" w:rsidR="006F1DEC" w:rsidRDefault="006F1DEC" w:rsidP="00480578">
      <w:pPr>
        <w:numPr>
          <w:ilvl w:val="0"/>
          <w:numId w:val="16"/>
        </w:numPr>
        <w:jc w:val="both"/>
      </w:pPr>
      <w:r>
        <w:lastRenderedPageBreak/>
        <w:t>Measurement is likely to be a particular challenge – as there are 3 types of emissions</w:t>
      </w:r>
    </w:p>
    <w:p w14:paraId="6D0C54D4" w14:textId="6772FA8C" w:rsidR="006F1DEC" w:rsidRPr="006F1DEC" w:rsidRDefault="006F1DEC" w:rsidP="006F1DEC">
      <w:pPr>
        <w:pStyle w:val="ListParagraph"/>
        <w:numPr>
          <w:ilvl w:val="0"/>
          <w:numId w:val="43"/>
        </w:numPr>
        <w:jc w:val="both"/>
        <w:rPr>
          <w:sz w:val="24"/>
          <w:szCs w:val="24"/>
        </w:rPr>
      </w:pPr>
      <w:r w:rsidRPr="006F1DEC">
        <w:rPr>
          <w:color w:val="0B0C0C"/>
          <w:sz w:val="24"/>
          <w:szCs w:val="24"/>
          <w:lang w:val="en"/>
        </w:rPr>
        <w:t xml:space="preserve">Scope 1 emissions are all direct emissions from the activities of an </w:t>
      </w:r>
      <w:proofErr w:type="spellStart"/>
      <w:r w:rsidRPr="006F1DEC">
        <w:rPr>
          <w:color w:val="0B0C0C"/>
          <w:sz w:val="24"/>
          <w:szCs w:val="24"/>
          <w:lang w:val="en"/>
        </w:rPr>
        <w:t>organisation</w:t>
      </w:r>
      <w:proofErr w:type="spellEnd"/>
      <w:r w:rsidRPr="006F1DEC">
        <w:rPr>
          <w:color w:val="0B0C0C"/>
          <w:sz w:val="24"/>
          <w:szCs w:val="24"/>
          <w:lang w:val="en"/>
        </w:rPr>
        <w:t xml:space="preserve"> or activities under its control. These emissions include fuel combustion on site such as gas boilers.</w:t>
      </w:r>
      <w:r w:rsidRPr="006F1DEC">
        <w:rPr>
          <w:sz w:val="24"/>
          <w:szCs w:val="24"/>
        </w:rPr>
        <w:t xml:space="preserve"> </w:t>
      </w:r>
    </w:p>
    <w:p w14:paraId="4E01411D" w14:textId="4102B89B" w:rsidR="006F1DEC" w:rsidRPr="006F1DEC" w:rsidRDefault="006F1DEC" w:rsidP="006F1DEC">
      <w:pPr>
        <w:pStyle w:val="ListParagraph"/>
        <w:numPr>
          <w:ilvl w:val="0"/>
          <w:numId w:val="43"/>
        </w:numPr>
        <w:jc w:val="both"/>
        <w:rPr>
          <w:sz w:val="24"/>
          <w:szCs w:val="24"/>
        </w:rPr>
      </w:pPr>
      <w:r w:rsidRPr="006F1DEC">
        <w:rPr>
          <w:color w:val="0B0C0C"/>
          <w:sz w:val="24"/>
          <w:szCs w:val="24"/>
          <w:lang w:val="en"/>
        </w:rPr>
        <w:t xml:space="preserve">Scope 2 emissions are indirect emissions from electricity purchased and used by the </w:t>
      </w:r>
      <w:proofErr w:type="spellStart"/>
      <w:r w:rsidRPr="006F1DEC">
        <w:rPr>
          <w:color w:val="0B0C0C"/>
          <w:sz w:val="24"/>
          <w:szCs w:val="24"/>
          <w:lang w:val="en"/>
        </w:rPr>
        <w:t>organisation</w:t>
      </w:r>
      <w:proofErr w:type="spellEnd"/>
      <w:r w:rsidRPr="006F1DEC">
        <w:rPr>
          <w:color w:val="0B0C0C"/>
          <w:sz w:val="24"/>
          <w:szCs w:val="24"/>
          <w:lang w:val="en"/>
        </w:rPr>
        <w:t xml:space="preserve">. Emissions are created during the production of the energy which is eventually used by the </w:t>
      </w:r>
      <w:proofErr w:type="spellStart"/>
      <w:r w:rsidRPr="006F1DEC">
        <w:rPr>
          <w:color w:val="0B0C0C"/>
          <w:sz w:val="24"/>
          <w:szCs w:val="24"/>
          <w:lang w:val="en"/>
        </w:rPr>
        <w:t>organisation</w:t>
      </w:r>
      <w:proofErr w:type="spellEnd"/>
      <w:r>
        <w:rPr>
          <w:color w:val="0B0C0C"/>
          <w:sz w:val="24"/>
          <w:szCs w:val="24"/>
          <w:lang w:val="en"/>
        </w:rPr>
        <w:t>.</w:t>
      </w:r>
      <w:r w:rsidRPr="006F1DEC">
        <w:rPr>
          <w:sz w:val="24"/>
          <w:szCs w:val="24"/>
        </w:rPr>
        <w:t xml:space="preserve"> </w:t>
      </w:r>
    </w:p>
    <w:p w14:paraId="59E0DCF0" w14:textId="545A0D5C" w:rsidR="003A477B" w:rsidRPr="006F1DEC" w:rsidRDefault="006F1DEC" w:rsidP="006F1DEC">
      <w:pPr>
        <w:pStyle w:val="ListParagraph"/>
        <w:numPr>
          <w:ilvl w:val="0"/>
          <w:numId w:val="43"/>
        </w:numPr>
        <w:jc w:val="both"/>
      </w:pPr>
      <w:r w:rsidRPr="006F1DEC">
        <w:rPr>
          <w:color w:val="0B0C0C"/>
          <w:sz w:val="24"/>
          <w:szCs w:val="24"/>
          <w:lang w:val="en"/>
        </w:rPr>
        <w:t xml:space="preserve">Scope 3 emissions are all other indirect emissions from activities of the </w:t>
      </w:r>
      <w:proofErr w:type="spellStart"/>
      <w:r w:rsidRPr="006F1DEC">
        <w:rPr>
          <w:color w:val="0B0C0C"/>
          <w:sz w:val="24"/>
          <w:szCs w:val="24"/>
          <w:lang w:val="en"/>
        </w:rPr>
        <w:t>organisation</w:t>
      </w:r>
      <w:proofErr w:type="spellEnd"/>
      <w:r w:rsidRPr="006F1DEC">
        <w:rPr>
          <w:color w:val="0B0C0C"/>
          <w:sz w:val="24"/>
          <w:szCs w:val="24"/>
          <w:lang w:val="en"/>
        </w:rPr>
        <w:t>, occurring from sources that they do not directly control. These are sometimes the greatest share of a carbon footprint, covering emissions associated with business travel, procurement, production of inputs, use of outputs, waste, and water</w:t>
      </w:r>
      <w:r>
        <w:rPr>
          <w:sz w:val="24"/>
          <w:szCs w:val="24"/>
        </w:rPr>
        <w:t>.</w:t>
      </w:r>
    </w:p>
    <w:p w14:paraId="1DBF5598" w14:textId="09AA4AF3" w:rsidR="006F1DEC" w:rsidRDefault="006F1DEC" w:rsidP="006F1DEC">
      <w:pPr>
        <w:ind w:left="720"/>
        <w:jc w:val="both"/>
      </w:pPr>
      <w:r>
        <w:t xml:space="preserve">Inevitably, it is much more difficult to measure scope 3 emissions accurately, and reporting on scope 3 emissions is less well developed. </w:t>
      </w:r>
    </w:p>
    <w:p w14:paraId="650A0F69" w14:textId="77777777" w:rsidR="006F1DEC" w:rsidRDefault="006F1DEC" w:rsidP="006F1DEC">
      <w:pPr>
        <w:jc w:val="both"/>
      </w:pPr>
    </w:p>
    <w:p w14:paraId="6B947565" w14:textId="7F88E90F" w:rsidR="008857AA" w:rsidRPr="001208EB" w:rsidRDefault="00311CE5" w:rsidP="00311CE5">
      <w:pPr>
        <w:numPr>
          <w:ilvl w:val="0"/>
          <w:numId w:val="16"/>
        </w:numPr>
        <w:jc w:val="both"/>
      </w:pPr>
      <w:r>
        <w:t>To ensure consistency of reporting across the LGPS, it is likely that here will be mandatory guidance issued – and that the Scheme Advisory Board will develop a standard template for Funds’ use, which will also facilitate scheme level reporting.</w:t>
      </w:r>
      <w:r w:rsidR="008857AA" w:rsidRPr="001208EB">
        <w:t xml:space="preserv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171CADE6" w14:textId="77777777" w:rsidR="001208EB" w:rsidRPr="001208EB" w:rsidRDefault="001208EB" w:rsidP="001208EB">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1208EB">
      <w:pPr>
        <w:pStyle w:val="ListParagraph"/>
        <w:rPr>
          <w:szCs w:val="24"/>
        </w:rPr>
      </w:pPr>
    </w:p>
    <w:p w14:paraId="62227DCE" w14:textId="77777777" w:rsidR="001208EB" w:rsidRPr="00B17A17" w:rsidRDefault="001208EB" w:rsidP="001208EB">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420869BB"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1208EB">
      <w:pPr>
        <w:pStyle w:val="ListParagraph"/>
        <w:numPr>
          <w:ilvl w:val="0"/>
          <w:numId w:val="34"/>
        </w:numPr>
        <w:shd w:val="clear" w:color="auto" w:fill="FFFFFF"/>
        <w:spacing w:after="160"/>
        <w:rPr>
          <w:color w:val="262626"/>
          <w:sz w:val="24"/>
          <w:szCs w:val="24"/>
        </w:rPr>
      </w:pPr>
      <w:r w:rsidRPr="00B17A17">
        <w:rPr>
          <w:color w:val="262626"/>
          <w:sz w:val="24"/>
          <w:szCs w:val="24"/>
        </w:rPr>
        <w:t>such other matters the LGPS regulations may specify.</w:t>
      </w:r>
    </w:p>
    <w:p w14:paraId="6D1DAA0B" w14:textId="77777777" w:rsidR="001208EB"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1208EB">
      <w:pPr>
        <w:shd w:val="clear" w:color="auto" w:fill="FFFFFF"/>
        <w:ind w:left="720"/>
        <w:jc w:val="both"/>
        <w:rPr>
          <w:rFonts w:cs="Arial"/>
          <w:color w:val="262626"/>
          <w:szCs w:val="24"/>
          <w:lang w:eastAsia="en-GB"/>
        </w:rPr>
      </w:pPr>
    </w:p>
    <w:p w14:paraId="00C3CD26" w14:textId="77777777" w:rsidR="001208EB" w:rsidRPr="00B17A17"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46BF62FE"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proofErr w:type="gramStart"/>
      <w:r w:rsidRPr="00B17A17">
        <w:rPr>
          <w:rFonts w:cs="Arial"/>
          <w:color w:val="262626"/>
          <w:szCs w:val="24"/>
          <w:lang w:eastAsia="en-GB"/>
        </w:rPr>
        <w:t>decision making</w:t>
      </w:r>
      <w:proofErr w:type="gramEnd"/>
      <w:r w:rsidRPr="00B17A17">
        <w:rPr>
          <w:rFonts w:cs="Arial"/>
          <w:color w:val="262626"/>
          <w:szCs w:val="24"/>
          <w:lang w:eastAsia="en-GB"/>
        </w:rPr>
        <w:t xml:space="preserve"> process</w:t>
      </w:r>
    </w:p>
    <w:p w14:paraId="37458E01"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lastRenderedPageBreak/>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1208EB">
      <w:pPr>
        <w:ind w:left="720"/>
        <w:jc w:val="both"/>
        <w:rPr>
          <w:szCs w:val="24"/>
        </w:rPr>
      </w:pPr>
    </w:p>
    <w:p w14:paraId="73611EAF"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1208EB">
      <w:pPr>
        <w:pStyle w:val="ListParagraph"/>
        <w:rPr>
          <w:szCs w:val="24"/>
        </w:rPr>
      </w:pPr>
    </w:p>
    <w:p w14:paraId="72D1BA74"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6B5B52">
      <w:pPr>
        <w:pStyle w:val="Heading2"/>
        <w:spacing w:after="240"/>
      </w:pPr>
      <w:r>
        <w:t>Financial Implications</w:t>
      </w:r>
    </w:p>
    <w:p w14:paraId="42CA06A9" w14:textId="735C13E4"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58A054A4"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2B4AF4">
        <w:rPr>
          <w:szCs w:val="24"/>
        </w:rPr>
        <w:t>, although as the Committee is aware, the Mc</w:t>
      </w:r>
      <w:r w:rsidR="00294964">
        <w:rPr>
          <w:szCs w:val="24"/>
        </w:rPr>
        <w:t>C</w:t>
      </w:r>
      <w:r w:rsidR="002B4AF4">
        <w:rPr>
          <w:szCs w:val="24"/>
        </w:rPr>
        <w:t>loud Judgement ar</w:t>
      </w:r>
      <w:r w:rsidR="00294964">
        <w:rPr>
          <w:szCs w:val="24"/>
        </w:rPr>
        <w:t>ose</w:t>
      </w:r>
      <w:r w:rsidR="002B4AF4">
        <w:rPr>
          <w:szCs w:val="24"/>
        </w:rPr>
        <w:t xml:space="preserve"> f</w:t>
      </w:r>
      <w:r w:rsidR="00294964">
        <w:rPr>
          <w:szCs w:val="24"/>
        </w:rPr>
        <w:t>r</w:t>
      </w:r>
      <w:r w:rsidR="002B4AF4">
        <w:rPr>
          <w:szCs w:val="24"/>
        </w:rPr>
        <w:t xml:space="preserve">om </w:t>
      </w:r>
      <w:proofErr w:type="gramStart"/>
      <w:r w:rsidR="002B4AF4">
        <w:rPr>
          <w:szCs w:val="24"/>
        </w:rPr>
        <w:t>a</w:t>
      </w:r>
      <w:proofErr w:type="gramEnd"/>
      <w:r w:rsidR="002B4AF4">
        <w:rPr>
          <w:szCs w:val="24"/>
        </w:rPr>
        <w:t xml:space="preserve"> Equalities Claim</w:t>
      </w:r>
      <w:r w:rsidR="00294964">
        <w:rPr>
          <w:szCs w:val="24"/>
        </w:rPr>
        <w:t xml:space="preserve"> against another public sector pension scheme</w:t>
      </w:r>
      <w:r w:rsidR="002B4AF4">
        <w:rPr>
          <w:szCs w:val="24"/>
        </w:rPr>
        <w: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9BB6849" w:rsidR="00912904" w:rsidRPr="00A66326" w:rsidRDefault="00912904" w:rsidP="00912904">
      <w:pPr>
        <w:rPr>
          <w:sz w:val="28"/>
        </w:rPr>
      </w:pPr>
      <w:r w:rsidRPr="00A66326">
        <w:rPr>
          <w:b/>
          <w:sz w:val="28"/>
        </w:rPr>
        <w:t xml:space="preserve">Statutory Officer:  </w:t>
      </w:r>
      <w:r w:rsidR="00CD46AF">
        <w:rPr>
          <w:b/>
          <w:sz w:val="28"/>
        </w:rPr>
        <w:t>Dawn Calvert</w:t>
      </w:r>
    </w:p>
    <w:p w14:paraId="57640BD9" w14:textId="39987006" w:rsidR="00912904" w:rsidRPr="00A66326" w:rsidRDefault="00912904" w:rsidP="00912904">
      <w:r w:rsidRPr="00A66326">
        <w:t>Signed by the Chief Financial Officer</w:t>
      </w:r>
    </w:p>
    <w:p w14:paraId="5745A2E3" w14:textId="5FB542A1" w:rsidR="00912904" w:rsidRPr="00A66326" w:rsidRDefault="00912904" w:rsidP="00912904">
      <w:pPr>
        <w:spacing w:after="480"/>
        <w:rPr>
          <w:sz w:val="28"/>
        </w:rPr>
      </w:pPr>
      <w:r w:rsidRPr="00A66326">
        <w:rPr>
          <w:b/>
          <w:sz w:val="28"/>
        </w:rPr>
        <w:t xml:space="preserve">Date:  </w:t>
      </w:r>
      <w:r w:rsidR="00CD46AF">
        <w:rPr>
          <w:b/>
          <w:sz w:val="28"/>
        </w:rPr>
        <w:t>27/09/2022</w:t>
      </w:r>
    </w:p>
    <w:p w14:paraId="2586CC50" w14:textId="147DB568" w:rsidR="00912904" w:rsidRPr="00A66326" w:rsidRDefault="00912904" w:rsidP="00912904">
      <w:pPr>
        <w:rPr>
          <w:sz w:val="28"/>
        </w:rPr>
      </w:pPr>
      <w:r w:rsidRPr="00A66326">
        <w:rPr>
          <w:b/>
          <w:sz w:val="28"/>
        </w:rPr>
        <w:lastRenderedPageBreak/>
        <w:t xml:space="preserve">Statutory Officer:  </w:t>
      </w:r>
      <w:r w:rsidR="00015F02">
        <w:rPr>
          <w:b/>
          <w:sz w:val="28"/>
        </w:rPr>
        <w:t>Sharon Clarke</w:t>
      </w:r>
    </w:p>
    <w:p w14:paraId="3F58D77A" w14:textId="49A4BCCE" w:rsidR="00912904" w:rsidRPr="00A66326" w:rsidRDefault="00912904" w:rsidP="00912904">
      <w:r w:rsidRPr="00A66326">
        <w:t>Signed on behalf of the Monitoring Officer</w:t>
      </w:r>
    </w:p>
    <w:p w14:paraId="61F8C7E6" w14:textId="06787B20" w:rsidR="00912904" w:rsidRPr="003313EA" w:rsidRDefault="00912904" w:rsidP="00015F02">
      <w:pPr>
        <w:tabs>
          <w:tab w:val="left" w:pos="2133"/>
        </w:tabs>
        <w:spacing w:after="480"/>
        <w:rPr>
          <w:sz w:val="28"/>
        </w:rPr>
      </w:pPr>
      <w:r w:rsidRPr="00A66326">
        <w:rPr>
          <w:b/>
          <w:sz w:val="28"/>
        </w:rPr>
        <w:t xml:space="preserve">Date:  </w:t>
      </w:r>
      <w:r w:rsidR="00015F02">
        <w:rPr>
          <w:b/>
          <w:sz w:val="28"/>
        </w:rPr>
        <w:t>22/09/2022</w:t>
      </w:r>
    </w:p>
    <w:p w14:paraId="41BE0AE1" w14:textId="0B850EA6" w:rsidR="00142155" w:rsidRDefault="004A4A1D" w:rsidP="00912904">
      <w:pPr>
        <w:rPr>
          <w:b/>
          <w:sz w:val="28"/>
        </w:rPr>
      </w:pPr>
      <w:r>
        <w:rPr>
          <w:b/>
          <w:sz w:val="28"/>
        </w:rPr>
        <w:t>Chief</w:t>
      </w:r>
      <w:r w:rsidR="00912904" w:rsidRPr="00A66326">
        <w:rPr>
          <w:b/>
          <w:sz w:val="28"/>
        </w:rPr>
        <w:t xml:space="preserve"> Officer:  </w:t>
      </w:r>
      <w:r w:rsidR="00CD46AF">
        <w:rPr>
          <w:b/>
          <w:sz w:val="28"/>
        </w:rPr>
        <w:t>Dawn Calvert</w:t>
      </w:r>
    </w:p>
    <w:p w14:paraId="12E4D11B" w14:textId="2A5214C2" w:rsidR="00912904" w:rsidRPr="00A66326" w:rsidRDefault="00365D29" w:rsidP="00912904">
      <w:r>
        <w:t>Signed</w:t>
      </w:r>
      <w:r w:rsidR="00912904" w:rsidRPr="00A66326">
        <w:t xml:space="preserve"> </w:t>
      </w:r>
      <w:r w:rsidR="00A845EF">
        <w:t>on behalf of</w:t>
      </w:r>
      <w:r w:rsidR="002E1AF6">
        <w:t xml:space="preserve"> </w:t>
      </w:r>
      <w:r w:rsidR="00912904" w:rsidRPr="00A66326">
        <w:t>the C</w:t>
      </w:r>
      <w:r w:rsidR="00D24343">
        <w:t>hief Executive</w:t>
      </w:r>
    </w:p>
    <w:p w14:paraId="21482980" w14:textId="52D1FD65" w:rsidR="00912904" w:rsidRPr="00A66326" w:rsidRDefault="00912904" w:rsidP="00912904">
      <w:pPr>
        <w:spacing w:after="480"/>
        <w:rPr>
          <w:sz w:val="28"/>
        </w:rPr>
      </w:pPr>
      <w:r w:rsidRPr="00A66326">
        <w:rPr>
          <w:b/>
          <w:sz w:val="28"/>
        </w:rPr>
        <w:t xml:space="preserve">Date:  </w:t>
      </w:r>
      <w:r w:rsidR="00CD46AF">
        <w:rPr>
          <w:b/>
          <w:sz w:val="28"/>
        </w:rPr>
        <w:t>27/09/2022</w:t>
      </w:r>
    </w:p>
    <w:p w14:paraId="686CE5D8" w14:textId="77777777" w:rsidR="00912904" w:rsidRPr="00435B5D" w:rsidRDefault="00912904" w:rsidP="00912904">
      <w:pPr>
        <w:pStyle w:val="Heading2"/>
        <w:spacing w:after="240"/>
      </w:pPr>
      <w:r>
        <w:t>Mandatory Checks</w:t>
      </w:r>
    </w:p>
    <w:p w14:paraId="71FBC41D" w14:textId="698E6A4D" w:rsidR="00912904" w:rsidRPr="003313EA" w:rsidRDefault="00912904" w:rsidP="00C55540">
      <w:pPr>
        <w:pStyle w:val="Heading3"/>
        <w:ind w:left="0" w:firstLine="0"/>
        <w:rPr>
          <w:i/>
          <w:color w:val="FF0000"/>
          <w:szCs w:val="24"/>
        </w:rPr>
      </w:pPr>
      <w:r w:rsidRPr="00E90AFF">
        <w:rPr>
          <w:sz w:val="28"/>
        </w:rPr>
        <w:t xml:space="preserve">Ward Councillors notified:  </w:t>
      </w:r>
      <w:r w:rsidRPr="00773A76">
        <w:rPr>
          <w:b w:val="0"/>
          <w:bCs w:val="0"/>
          <w:sz w:val="28"/>
        </w:rPr>
        <w:t>N</w:t>
      </w:r>
      <w:r w:rsidR="00367CCA" w:rsidRPr="00773A76">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6"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3" w15:restartNumberingAfterBreak="0">
    <w:nsid w:val="24DF2779"/>
    <w:multiLevelType w:val="hybridMultilevel"/>
    <w:tmpl w:val="0E80B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AA2C10"/>
    <w:multiLevelType w:val="hybridMultilevel"/>
    <w:tmpl w:val="495CE64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5"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E25D2"/>
    <w:multiLevelType w:val="hybridMultilevel"/>
    <w:tmpl w:val="40AC9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127722"/>
    <w:multiLevelType w:val="hybridMultilevel"/>
    <w:tmpl w:val="665AF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7479B0"/>
    <w:multiLevelType w:val="hybridMultilevel"/>
    <w:tmpl w:val="5C86E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4"/>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8"/>
  </w:num>
  <w:num w:numId="9">
    <w:abstractNumId w:val="4"/>
  </w:num>
  <w:num w:numId="10">
    <w:abstractNumId w:val="33"/>
  </w:num>
  <w:num w:numId="11">
    <w:abstractNumId w:val="40"/>
  </w:num>
  <w:num w:numId="12">
    <w:abstractNumId w:val="29"/>
  </w:num>
  <w:num w:numId="13">
    <w:abstractNumId w:val="3"/>
  </w:num>
  <w:num w:numId="14">
    <w:abstractNumId w:val="16"/>
  </w:num>
  <w:num w:numId="15">
    <w:abstractNumId w:val="25"/>
  </w:num>
  <w:num w:numId="16">
    <w:abstractNumId w:val="23"/>
  </w:num>
  <w:num w:numId="17">
    <w:abstractNumId w:val="1"/>
  </w:num>
  <w:num w:numId="18">
    <w:abstractNumId w:val="19"/>
  </w:num>
  <w:num w:numId="19">
    <w:abstractNumId w:val="22"/>
  </w:num>
  <w:num w:numId="20">
    <w:abstractNumId w:val="36"/>
  </w:num>
  <w:num w:numId="2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15"/>
  </w:num>
  <w:num w:numId="25">
    <w:abstractNumId w:val="12"/>
  </w:num>
  <w:num w:numId="26">
    <w:abstractNumId w:val="27"/>
  </w:num>
  <w:num w:numId="27">
    <w:abstractNumId w:val="10"/>
  </w:num>
  <w:num w:numId="28">
    <w:abstractNumId w:val="32"/>
  </w:num>
  <w:num w:numId="29">
    <w:abstractNumId w:val="28"/>
  </w:num>
  <w:num w:numId="30">
    <w:abstractNumId w:val="37"/>
  </w:num>
  <w:num w:numId="31">
    <w:abstractNumId w:val="9"/>
  </w:num>
  <w:num w:numId="32">
    <w:abstractNumId w:val="7"/>
  </w:num>
  <w:num w:numId="33">
    <w:abstractNumId w:val="6"/>
  </w:num>
  <w:num w:numId="34">
    <w:abstractNumId w:val="0"/>
  </w:num>
  <w:num w:numId="35">
    <w:abstractNumId w:val="11"/>
  </w:num>
  <w:num w:numId="36">
    <w:abstractNumId w:val="31"/>
  </w:num>
  <w:num w:numId="37">
    <w:abstractNumId w:val="5"/>
  </w:num>
  <w:num w:numId="38">
    <w:abstractNumId w:val="20"/>
  </w:num>
  <w:num w:numId="39">
    <w:abstractNumId w:val="18"/>
  </w:num>
  <w:num w:numId="40">
    <w:abstractNumId w:val="14"/>
  </w:num>
  <w:num w:numId="41">
    <w:abstractNumId w:val="13"/>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5F02"/>
    <w:rsid w:val="00023F4C"/>
    <w:rsid w:val="000540FD"/>
    <w:rsid w:val="000551DE"/>
    <w:rsid w:val="00057F10"/>
    <w:rsid w:val="000633A2"/>
    <w:rsid w:val="00071EB4"/>
    <w:rsid w:val="00077298"/>
    <w:rsid w:val="000A58A1"/>
    <w:rsid w:val="000A6659"/>
    <w:rsid w:val="000B0E6F"/>
    <w:rsid w:val="000B6DBB"/>
    <w:rsid w:val="000C399F"/>
    <w:rsid w:val="000D1056"/>
    <w:rsid w:val="000D2BF2"/>
    <w:rsid w:val="000D5870"/>
    <w:rsid w:val="000F65C0"/>
    <w:rsid w:val="001208EB"/>
    <w:rsid w:val="00125757"/>
    <w:rsid w:val="0013655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E0219"/>
    <w:rsid w:val="002076EC"/>
    <w:rsid w:val="00213BE7"/>
    <w:rsid w:val="00231A1D"/>
    <w:rsid w:val="00244120"/>
    <w:rsid w:val="00261C5E"/>
    <w:rsid w:val="00267CEB"/>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11CE5"/>
    <w:rsid w:val="00313E7C"/>
    <w:rsid w:val="00332947"/>
    <w:rsid w:val="00333EB4"/>
    <w:rsid w:val="00345915"/>
    <w:rsid w:val="00365D29"/>
    <w:rsid w:val="00367CCA"/>
    <w:rsid w:val="00374F22"/>
    <w:rsid w:val="003A1F10"/>
    <w:rsid w:val="003A477B"/>
    <w:rsid w:val="003D271D"/>
    <w:rsid w:val="003D2FFE"/>
    <w:rsid w:val="00400032"/>
    <w:rsid w:val="0042394B"/>
    <w:rsid w:val="00443912"/>
    <w:rsid w:val="004578DE"/>
    <w:rsid w:val="00473B08"/>
    <w:rsid w:val="00474B5F"/>
    <w:rsid w:val="004A3CE6"/>
    <w:rsid w:val="004A4A1D"/>
    <w:rsid w:val="004B2C2F"/>
    <w:rsid w:val="004B2C9D"/>
    <w:rsid w:val="004B4A47"/>
    <w:rsid w:val="004B6242"/>
    <w:rsid w:val="004C00FA"/>
    <w:rsid w:val="004E667D"/>
    <w:rsid w:val="004E6AF9"/>
    <w:rsid w:val="004E7921"/>
    <w:rsid w:val="004F58B2"/>
    <w:rsid w:val="004F7B24"/>
    <w:rsid w:val="005031DF"/>
    <w:rsid w:val="00525803"/>
    <w:rsid w:val="00536C53"/>
    <w:rsid w:val="0055081C"/>
    <w:rsid w:val="00567D42"/>
    <w:rsid w:val="00587BBB"/>
    <w:rsid w:val="00597314"/>
    <w:rsid w:val="005A293A"/>
    <w:rsid w:val="005A61AF"/>
    <w:rsid w:val="005D0886"/>
    <w:rsid w:val="005D3267"/>
    <w:rsid w:val="005E384D"/>
    <w:rsid w:val="005F2181"/>
    <w:rsid w:val="005F724B"/>
    <w:rsid w:val="00610ADC"/>
    <w:rsid w:val="00625DFF"/>
    <w:rsid w:val="0063072B"/>
    <w:rsid w:val="00637BD9"/>
    <w:rsid w:val="006513A6"/>
    <w:rsid w:val="00662891"/>
    <w:rsid w:val="006628B7"/>
    <w:rsid w:val="00664B3D"/>
    <w:rsid w:val="00675FCB"/>
    <w:rsid w:val="00676403"/>
    <w:rsid w:val="006A6A65"/>
    <w:rsid w:val="006B095C"/>
    <w:rsid w:val="006B3532"/>
    <w:rsid w:val="006B3942"/>
    <w:rsid w:val="006B432E"/>
    <w:rsid w:val="006B5B52"/>
    <w:rsid w:val="006C3914"/>
    <w:rsid w:val="006D3648"/>
    <w:rsid w:val="006F1DEC"/>
    <w:rsid w:val="007157B1"/>
    <w:rsid w:val="0074184E"/>
    <w:rsid w:val="00743829"/>
    <w:rsid w:val="00755F8D"/>
    <w:rsid w:val="0075614B"/>
    <w:rsid w:val="0075787A"/>
    <w:rsid w:val="00773A76"/>
    <w:rsid w:val="0077422A"/>
    <w:rsid w:val="007853C7"/>
    <w:rsid w:val="00796503"/>
    <w:rsid w:val="007A5C98"/>
    <w:rsid w:val="007C335E"/>
    <w:rsid w:val="007D2BDA"/>
    <w:rsid w:val="007D4143"/>
    <w:rsid w:val="007D56C8"/>
    <w:rsid w:val="007E3934"/>
    <w:rsid w:val="007E7303"/>
    <w:rsid w:val="007F0EA4"/>
    <w:rsid w:val="007F1D9E"/>
    <w:rsid w:val="008212A0"/>
    <w:rsid w:val="00837F53"/>
    <w:rsid w:val="00867B7B"/>
    <w:rsid w:val="008857AA"/>
    <w:rsid w:val="008A25CA"/>
    <w:rsid w:val="008A6E38"/>
    <w:rsid w:val="008A711D"/>
    <w:rsid w:val="008A750D"/>
    <w:rsid w:val="008D1750"/>
    <w:rsid w:val="008D7800"/>
    <w:rsid w:val="008E0764"/>
    <w:rsid w:val="008E2910"/>
    <w:rsid w:val="008E4913"/>
    <w:rsid w:val="008E6C0C"/>
    <w:rsid w:val="008F0193"/>
    <w:rsid w:val="008F5CDD"/>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57A54"/>
    <w:rsid w:val="00A845EF"/>
    <w:rsid w:val="00A91EF8"/>
    <w:rsid w:val="00A940D3"/>
    <w:rsid w:val="00A96FCA"/>
    <w:rsid w:val="00AA4BE8"/>
    <w:rsid w:val="00AA5187"/>
    <w:rsid w:val="00AC0AAB"/>
    <w:rsid w:val="00AC7BA9"/>
    <w:rsid w:val="00B0425E"/>
    <w:rsid w:val="00B65B5A"/>
    <w:rsid w:val="00B7289A"/>
    <w:rsid w:val="00B77788"/>
    <w:rsid w:val="00B900E2"/>
    <w:rsid w:val="00B9118E"/>
    <w:rsid w:val="00BD6115"/>
    <w:rsid w:val="00BD684A"/>
    <w:rsid w:val="00BE0E66"/>
    <w:rsid w:val="00BE44C6"/>
    <w:rsid w:val="00BE75CB"/>
    <w:rsid w:val="00BF4BCB"/>
    <w:rsid w:val="00C175FB"/>
    <w:rsid w:val="00C305BC"/>
    <w:rsid w:val="00C32724"/>
    <w:rsid w:val="00C32DAE"/>
    <w:rsid w:val="00C40E24"/>
    <w:rsid w:val="00C43296"/>
    <w:rsid w:val="00C507F1"/>
    <w:rsid w:val="00C55540"/>
    <w:rsid w:val="00C55790"/>
    <w:rsid w:val="00C61B80"/>
    <w:rsid w:val="00C63471"/>
    <w:rsid w:val="00C753BA"/>
    <w:rsid w:val="00C8466F"/>
    <w:rsid w:val="00C86C79"/>
    <w:rsid w:val="00C92D9A"/>
    <w:rsid w:val="00C96EF5"/>
    <w:rsid w:val="00CD46AF"/>
    <w:rsid w:val="00CD671A"/>
    <w:rsid w:val="00CE060C"/>
    <w:rsid w:val="00CE4DD2"/>
    <w:rsid w:val="00D24343"/>
    <w:rsid w:val="00D25064"/>
    <w:rsid w:val="00D264C1"/>
    <w:rsid w:val="00D32B51"/>
    <w:rsid w:val="00D33D75"/>
    <w:rsid w:val="00D34668"/>
    <w:rsid w:val="00D3740E"/>
    <w:rsid w:val="00D40335"/>
    <w:rsid w:val="00D41527"/>
    <w:rsid w:val="00D52A99"/>
    <w:rsid w:val="00D56CAE"/>
    <w:rsid w:val="00D76680"/>
    <w:rsid w:val="00D82F57"/>
    <w:rsid w:val="00D841A5"/>
    <w:rsid w:val="00D86EDB"/>
    <w:rsid w:val="00D914D2"/>
    <w:rsid w:val="00DA25DB"/>
    <w:rsid w:val="00DB0791"/>
    <w:rsid w:val="00DD0045"/>
    <w:rsid w:val="00DD4251"/>
    <w:rsid w:val="00DD6270"/>
    <w:rsid w:val="00DE34A4"/>
    <w:rsid w:val="00E02B50"/>
    <w:rsid w:val="00E03F11"/>
    <w:rsid w:val="00E06DC8"/>
    <w:rsid w:val="00E220B5"/>
    <w:rsid w:val="00E26945"/>
    <w:rsid w:val="00E33D93"/>
    <w:rsid w:val="00E34BF1"/>
    <w:rsid w:val="00E609EF"/>
    <w:rsid w:val="00E726EA"/>
    <w:rsid w:val="00E72DC9"/>
    <w:rsid w:val="00E76ED9"/>
    <w:rsid w:val="00E8515B"/>
    <w:rsid w:val="00E86E38"/>
    <w:rsid w:val="00E90AFF"/>
    <w:rsid w:val="00EA0DB3"/>
    <w:rsid w:val="00EC23C5"/>
    <w:rsid w:val="00EC3C2C"/>
    <w:rsid w:val="00EF2F91"/>
    <w:rsid w:val="00F020CB"/>
    <w:rsid w:val="00F07376"/>
    <w:rsid w:val="00F13423"/>
    <w:rsid w:val="00F33EE3"/>
    <w:rsid w:val="00F34CBC"/>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8F5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8337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4</cp:revision>
  <cp:lastPrinted>2007-07-12T09:53:00Z</cp:lastPrinted>
  <dcterms:created xsi:type="dcterms:W3CDTF">2022-09-28T10:20:00Z</dcterms:created>
  <dcterms:modified xsi:type="dcterms:W3CDTF">2022-09-28T11:17:00Z</dcterms:modified>
</cp:coreProperties>
</file>